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SBIR Phase I Proposal — DLA26BZ02-NV007</w:t>
      </w:r>
    </w:p>
    <w:p>
      <w:pPr>
        <w:pStyle w:val="Heading2"/>
      </w:pPr>
      <w:r>
        <w:t xml:space="preserve">STRIKE AI: AI-Enabled Mission Planning for Defense of Operational Technology Critical Infrastructure</w:t>
      </w:r>
    </w:p>
    <w:p>
      <w:r>
        <w:t xml:space="preserve"/>
      </w:r>
    </w:p>
    <w:p>
      <w:r>
        <w:rPr>
          <w:b/>
          <w:bCs/>
        </w:rPr>
        <w:t xml:space="preserve">Offeror:</w:t>
      </w:r>
      <w:r>
        <w:t xml:space="preserve"> Integrated Services and Solutions LLC (ISS) · CAGE 9VKK3 · UEI C7YDV3P8EHL7 · EIN 41-4996540</w:t>
      </w:r>
    </w:p>
    <w:p>
      <w:r>
        <w:rPr>
          <w:b/>
          <w:bCs/>
        </w:rPr>
        <w:t xml:space="preserve">PI:</w:t>
      </w:r>
      <w:r>
        <w:t xml:space="preserve"> Dr. Terry Flood, DHA, MS, MBA, CWO 131A Retired</w:t>
      </w:r>
    </w:p>
    <w:p>
      <w:r>
        <w:rPr>
          <w:b/>
          <w:bCs/>
        </w:rPr>
        <w:t xml:space="preserve">Close:</w:t>
      </w:r>
      <w:r>
        <w:t xml:space="preserve"> 2026-06-24 noon ET · </w:t>
      </w:r>
      <w:r>
        <w:rPr>
          <w:b/>
          <w:bCs/>
        </w:rPr>
        <w:t xml:space="preserve">Phase I:</w:t>
      </w:r>
      <w:r>
        <w:t xml:space="preserve"> ≤12 months, ≤$100K</w:t>
      </w:r>
    </w:p>
    <w:p>
      <w:r>
        <w:rPr>
          <w:b/>
          <w:bCs/>
        </w:rPr>
        <w:t xml:space="preserve">Capability truth source:</w:t>
      </w:r>
      <w:r>
        <w:t xml:space="preserve"> </w:t>
      </w:r>
      <w:r>
        <w:rPr>
          <w:rFonts w:ascii="Courier New" w:cs="Courier New" w:eastAsia="Courier New" w:hAnsi="Courier New"/>
        </w:rPr>
        <w:t xml:space="preserve">docs/canonical/11_r2_capability_truth.md</w:t>
      </w:r>
      <w:r>
        <w:t xml:space="preserve"> · </w:t>
      </w:r>
      <w:r>
        <w:rPr>
          <w:b/>
          <w:bCs/>
        </w:rPr>
        <w:t xml:space="preserve">Prove:</w:t>
      </w:r>
      <w:r>
        <w:t xml:space="preserve"> </w:t>
      </w:r>
      <w:r>
        <w:rPr>
          <w:rFonts w:ascii="Courier New" w:cs="Courier New" w:eastAsia="Courier New" w:hAnsi="Courier New"/>
        </w:rPr>
        <w:t xml:space="preserve">GET /api/prove/pursuit-r2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1. Problem and superior approach (Submission Standard Criterion 1)</w:t>
      </w:r>
    </w:p>
    <w:p>
      <w:r>
        <w:t xml:space="preserve"/>
      </w:r>
    </w:p>
    <w:p>
      <w:r>
        <w:rPr>
          <w:b/>
          <w:bCs/>
        </w:rPr>
        <w:t xml:space="preserve">Incumbent method:</w:t>
      </w:r>
      <w:r>
        <w:t xml:space="preserve"> OT/ICS incident response still depends on stove-piped cyber tickets, physical security radio nets, and ad hoc commander guidance — plans are rebuilt under attack with no shared deconfliction model.</w:t>
      </w:r>
    </w:p>
    <w:p>
      <w:r>
        <w:t xml:space="preserve"/>
      </w:r>
    </w:p>
    <w:p>
      <w:r>
        <w:rPr>
          <w:b/>
          <w:bCs/>
        </w:rPr>
        <w:t xml:space="preserve">ISS approach (demonstrated today):</w:t>
      </w:r>
      <w:r>
        <w:t xml:space="preserve"> Commander's intent is translated into a sequenced, multi-domain defensive plan with explicit human approval gates and hash-chained audit — not autonomous execution.</w:t>
      </w:r>
    </w:p>
    <w:p>
      <w:r>
        <w:t xml:space="preserve"/>
      </w:r>
    </w:p>
    <w:p>
      <w:r>
        <w:t xml:space="preserve">| Capability | </w:t>
      </w:r>
      <w:r>
        <w:rPr>
          <w:b/>
          <w:bCs/>
        </w:rPr>
        <w:t xml:space="preserve">Demonstrated today (live API)</w:t>
      </w:r>
      <w:r>
        <w:t xml:space="preserve"> | Phase I hardening |</w:t>
      </w:r>
    </w:p>
    <w:p>
      <w:r>
        <w:t xml:space="preserve">|------------|-----------------------------------|-------------------|</w:t>
      </w:r>
    </w:p>
    <w:p>
      <w:r>
        <w:t xml:space="preserve">| OT topology model (water utility) | </w:t>
      </w:r>
      <w:r>
        <w:rPr>
          <w:rFonts w:ascii="Courier New" w:cs="Courier New" w:eastAsia="Courier New" w:hAnsi="Courier New"/>
        </w:rPr>
        <w:t xml:space="preserve">GET /api/strike-ot/topology</w:t>
      </w:r>
      <w:r>
        <w:t xml:space="preserve"> | Customer-specific asset import |</w:t>
      </w:r>
    </w:p>
    <w:p>
      <w:r>
        <w:t xml:space="preserve">| Commander intent → deconflicted plan | </w:t>
      </w:r>
      <w:r>
        <w:rPr>
          <w:rFonts w:ascii="Courier New" w:cs="Courier New" w:eastAsia="Courier New" w:hAnsi="Courier New"/>
        </w:rPr>
        <w:t xml:space="preserve">POST /api/strike-ot/plan</w:t>
      </w:r>
      <w:r>
        <w:t xml:space="preserve"> | Richer ICS/CVE corpus (NVD/KEV ingest) |</w:t>
      </w:r>
    </w:p>
    <w:p>
      <w:r>
        <w:t xml:space="preserve">| Human-on-the-loop approval | </w:t>
      </w:r>
      <w:r>
        <w:rPr>
          <w:rFonts w:ascii="Courier New" w:cs="Courier New" w:eastAsia="Courier New" w:hAnsi="Courier New"/>
        </w:rPr>
        <w:t xml:space="preserve">POST /api/strike-ot/approve</w:t>
      </w:r>
      <w:r>
        <w:t xml:space="preserve"> | Commander UI on COP (not API-only) |</w:t>
      </w:r>
    </w:p>
    <w:p>
      <w:r>
        <w:t xml:space="preserve">| Audit hash on plan decisions | </w:t>
      </w:r>
      <w:r>
        <w:rPr>
          <w:rFonts w:ascii="Courier New" w:cs="Courier New" w:eastAsia="Courier New" w:hAnsi="Courier New"/>
        </w:rPr>
        <w:t xml:space="preserve">plan.audit[]</w:t>
      </w:r>
      <w:r>
        <w:t xml:space="preserve"> on plan response | Persist to PostgreSQL vs in-memory |</w:t>
      </w:r>
    </w:p>
    <w:p>
      <w:r>
        <w:t xml:space="preserve"/>
      </w:r>
    </w:p>
    <w:p>
      <w:r>
        <w:rPr>
          <w:b/>
          <w:bCs/>
        </w:rPr>
        <w:t xml:space="preserve">Module:</w:t>
      </w:r>
      <w:r>
        <w:t xml:space="preserve"> </w:t>
      </w:r>
      <w:r>
        <w:rPr>
          <w:rFonts w:ascii="Courier New" w:cs="Courier New" w:eastAsia="Courier New" w:hAnsi="Courier New"/>
        </w:rPr>
        <w:t xml:space="preserve">server/pursuit-r2-capabilities.ts</w:t>
      </w:r>
      <w:r>
        <w:t xml:space="preserve"> · </w:t>
      </w:r>
      <w:r>
        <w:rPr>
          <w:b/>
          <w:bCs/>
        </w:rPr>
        <w:t xml:space="preserve">Fixture:</w:t>
      </w:r>
      <w:r>
        <w:t xml:space="preserve"> </w:t>
      </w:r>
      <w:r>
        <w:rPr>
          <w:rFonts w:ascii="Courier New" w:cs="Courier New" w:eastAsia="Courier New" w:hAnsi="Courier New"/>
        </w:rPr>
        <w:t xml:space="preserve">server/fixtures/strike-ot-water-utility.json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2. Unnamed risk and retirement (Criterion 2)</w:t>
      </w:r>
    </w:p>
    <w:p>
      <w:r>
        <w:t xml:space="preserve"/>
      </w:r>
    </w:p>
    <w:p>
      <w:r>
        <w:rPr>
          <w:b/>
          <w:bCs/>
        </w:rPr>
        <w:t xml:space="preserve">Risk the requirement under-specifies:</w:t>
      </w:r>
      <w:r>
        <w:t xml:space="preserve"> Under DDIL or regional comms loss, planning cells lose synchronized COA state and revert to verbal fragment orders — cyber and physical teams execute conflicting tasks.</w:t>
      </w:r>
    </w:p>
    <w:p>
      <w:r>
        <w:t xml:space="preserve"/>
      </w:r>
    </w:p>
    <w:p>
      <w:r>
        <w:rPr>
          <w:b/>
          <w:bCs/>
        </w:rPr>
        <w:t xml:space="preserve">Retirement:</w:t>
      </w:r>
      <w:r>
        <w:t xml:space="preserve"> ATLAS DDIL store-forward (</w:t>
      </w:r>
      <w:r>
        <w:rPr>
          <w:rFonts w:ascii="Courier New" w:cs="Courier New" w:eastAsia="Courier New" w:hAnsi="Courier New"/>
        </w:rPr>
        <w:t xml:space="preserve">POST /api/ddil/queue</w:t>
      </w:r>
      <w:r>
        <w:t xml:space="preserve">, </w:t>
      </w:r>
      <w:r>
        <w:rPr>
          <w:rFonts w:ascii="Courier New" w:cs="Courier New" w:eastAsia="Courier New" w:hAnsi="Courier New"/>
        </w:rPr>
        <w:t xml:space="preserve">POST /api/ddil/sync</w:t>
      </w:r>
      <w:r>
        <w:t xml:space="preserve">) and integrated event bus preserve alert/plan state for replay when connectivity returns. STRIKE OT plans carry audit entries suitable for after-action reconstruction.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3. Proposed acceptance metric (Criterion 3)</w:t>
      </w:r>
    </w:p>
    <w:p>
      <w:r>
        <w:t xml:space="preserve"/>
      </w:r>
    </w:p>
    <w:p>
      <w:r>
        <w:rPr>
          <w:b/>
          <w:bCs/>
        </w:rPr>
        <w:t xml:space="preserve">Metric:</w:t>
      </w:r>
      <w:r>
        <w:t xml:space="preserve"> In a witnessed exercise, commander-approved STRIKE OT plan generated in </w:t>
      </w:r>
      <w:r>
        <w:rPr>
          <w:b/>
          <w:bCs/>
        </w:rPr>
        <w:t xml:space="preserve">&lt;60 seconds</w:t>
      </w:r>
      <w:r>
        <w:t xml:space="preserve"> from intent string, with </w:t>
      </w:r>
      <w:r>
        <w:rPr>
          <w:b/>
          <w:bCs/>
        </w:rPr>
        <w:t xml:space="preserve">≥3 deconflicted tasks</w:t>
      </w:r>
      <w:r>
        <w:t xml:space="preserve"> across cyber and physical domains, </w:t>
      </w:r>
      <w:r>
        <w:rPr>
          <w:b/>
          <w:bCs/>
        </w:rPr>
        <w:t xml:space="preserve">100% of kinetic/cyber-effect tasks</w:t>
      </w:r>
      <w:r>
        <w:t xml:space="preserve"> flagged </w:t>
      </w:r>
      <w:r>
        <w:rPr>
          <w:rFonts w:ascii="Courier New" w:cs="Courier New" w:eastAsia="Courier New" w:hAnsi="Courier New"/>
        </w:rPr>
        <w:t xml:space="preserve">requiresHumanApproval: true</w:t>
      </w:r>
      <w:r>
        <w:t xml:space="preserve">, and </w:t>
      </w:r>
      <w:r>
        <w:rPr>
          <w:b/>
          <w:bCs/>
        </w:rPr>
        <w:t xml:space="preserve">audit hash</w:t>
      </w:r>
      <w:r>
        <w:t xml:space="preserve"> present on every plan mutation.</w:t>
      </w:r>
    </w:p>
    <w:p>
      <w:r>
        <w:t xml:space="preserve"/>
      </w:r>
    </w:p>
    <w:p>
      <w:r>
        <w:rPr>
          <w:b/>
          <w:bCs/>
        </w:rPr>
        <w:t xml:space="preserve">Proof endpoint:</w:t>
      </w:r>
      <w:r>
        <w:t xml:space="preserve"> </w:t>
      </w:r>
      <w:r>
        <w:rPr>
          <w:rFonts w:ascii="Courier New" w:cs="Courier New" w:eastAsia="Courier New" w:hAnsi="Courier New"/>
        </w:rPr>
        <w:t xml:space="preserve">GET /api/prove/pursuit-r2</w:t>
      </w:r>
      <w:r>
        <w:t xml:space="preserve"> (strike-plan + strike-approve steps must pass).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4. Technical approach — Phase I</w:t>
      </w:r>
    </w:p>
    <w:p>
      <w:r>
        <w:t xml:space="preserve"/>
      </w:r>
    </w:p>
    <w:p>
      <w:r>
        <w:t xml:space="preserve">Phase I extends the </w:t>
      </w:r>
      <w:r>
        <w:rPr>
          <w:b/>
          <w:bCs/>
        </w:rPr>
        <w:t xml:space="preserve">already-running</w:t>
      </w:r>
      <w:r>
        <w:t xml:space="preserve"> STRIKE OT lane — it does not greenfield a demo.</w:t>
      </w:r>
    </w:p>
    <w:p>
      <w:r>
        <w:t xml:space="preserve"/>
      </w:r>
    </w:p>
    <w:p>
      <w:r>
        <w:t xml:space="preserve">1. </w:t>
      </w:r>
      <w:r>
        <w:rPr>
          <w:b/>
          <w:bCs/>
        </w:rPr>
        <w:t xml:space="preserve">Baseline (Month 1–2):</w:t>
      </w:r>
      <w:r>
        <w:t xml:space="preserve"> Certify pursuit-r2 prove chain on government witness hardware; import notional municipal water utility topology (NIST SP 800-82 aligned) — already loaded via fixture.</w:t>
      </w:r>
    </w:p>
    <w:p>
      <w:r>
        <w:t xml:space="preserve">2. </w:t>
      </w:r>
      <w:r>
        <w:rPr>
          <w:b/>
          <w:bCs/>
        </w:rPr>
        <w:t xml:space="preserve">Intent expansion (Month 3–5):</w:t>
      </w:r>
      <w:r>
        <w:t xml:space="preserve"> Tie NL compose (</w:t>
      </w:r>
      <w:r>
        <w:rPr>
          <w:rFonts w:ascii="Courier New" w:cs="Courier New" w:eastAsia="Courier New" w:hAnsi="Courier New"/>
        </w:rPr>
        <w:t xml:space="preserve">POST /api/compose/intent</w:t>
      </w:r>
      <w:r>
        <w:t xml:space="preserve">) vocabulary to STRIKE plan inputs; map MITRE ATT&amp;CK for ICS TTPs onto threat profiles in topology.</w:t>
      </w:r>
    </w:p>
    <w:p>
      <w:r>
        <w:t xml:space="preserve">3. </w:t>
      </w:r>
      <w:r>
        <w:rPr>
          <w:b/>
          <w:bCs/>
        </w:rPr>
        <w:t xml:space="preserve">Deconfliction depth (Month 6–8):</w:t>
      </w:r>
      <w:r>
        <w:t xml:space="preserve"> Cross-link cyber modules (</w:t>
      </w:r>
      <w:r>
        <w:rPr>
          <w:rFonts w:ascii="Courier New" w:cs="Courier New" w:eastAsia="Courier New" w:hAnsi="Courier New"/>
        </w:rPr>
        <w:t xml:space="preserve">server/cyber-response-engine.ts</w:t>
      </w:r>
      <w:r>
        <w:t xml:space="preserve">) with physical task ordering; COP alert-intel COA options as parallel human-review surface.</w:t>
      </w:r>
    </w:p>
    <w:p>
      <w:r>
        <w:t xml:space="preserve">4. </w:t>
      </w:r>
      <w:r>
        <w:rPr>
          <w:b/>
          <w:bCs/>
        </w:rPr>
        <w:t xml:space="preserve">Exercise (Month 9–12):</w:t>
      </w:r>
      <w:r>
        <w:t xml:space="preserve"> Multi-pronged ransomware + physical intrusion scenario; deliver feasibility report and Phase II plan for USNORTHCOM/CISA-scale orchestration.</w:t>
      </w:r>
    </w:p>
    <w:p>
      <w:r>
        <w:t xml:space="preserve"/>
      </w:r>
    </w:p>
    <w:p>
      <w:r>
        <w:rPr>
          <w:b/>
          <w:bCs/>
        </w:rPr>
        <w:t xml:space="preserve">Platform:</w:t>
      </w:r>
      <w:r>
        <w:t xml:space="preserve"> https://secureassure.app · </w:t>
      </w:r>
      <w:r>
        <w:rPr>
          <w:b/>
          <w:bCs/>
        </w:rPr>
        <w:t xml:space="preserve">Evaluator prove:</w:t>
      </w:r>
      <w:r>
        <w:t xml:space="preserve"> </w:t>
      </w:r>
      <w:r>
        <w:rPr>
          <w:rFonts w:ascii="Courier New" w:cs="Courier New" w:eastAsia="Courier New" w:hAnsi="Courier New"/>
        </w:rPr>
        <w:t xml:space="preserve">/pursuit-prove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5. Innovation</w:t>
      </w:r>
    </w:p>
    <w:p>
      <w:r>
        <w:t xml:space="preserve"/>
      </w:r>
    </w:p>
    <w:p>
      <w:r>
        <w:t xml:space="preserve">Commercial SOAR playbooks optimize ticket throughput; generic LLM copilots lack commander attestation and collateral discipline. ISS innovation is </w:t>
      </w:r>
      <w:r>
        <w:rPr>
          <w:b/>
          <w:bCs/>
        </w:rPr>
        <w:t xml:space="preserve">machine-speed option generation with mandatory human release</w:t>
      </w:r>
      <w:r>
        <w:t xml:space="preserve"> — the same pattern as deliberate targeting (131A) applied to OT defense. Dual-use: EM hub surfaces run the same substrate for municipal critical-infrastructure exercises without architectural fork.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6. Related live modules (traceability)</w:t>
      </w:r>
    </w:p>
    <w:p>
      <w:r>
        <w:t xml:space="preserve"/>
      </w:r>
    </w:p>
    <w:p>
      <w:pPr>
        <w:pStyle w:val="ListParagraph"/>
        <w:numPr>
          <w:ilvl w:val="0"/>
          <w:numId w:val="1"/>
        </w:numPr>
      </w:pPr>
      <w:r>
        <w:t xml:space="preserve">`server/coa-engine.ts`, `server/cop-alert-intelligence.ts` — COA options with citations</w:t>
      </w:r>
    </w:p>
    <w:p>
      <w:pPr>
        <w:pStyle w:val="ListParagraph"/>
        <w:numPr>
          <w:ilvl w:val="0"/>
          <w:numId w:val="1"/>
        </w:numPr>
      </w:pPr>
      <w:r>
        <w:t xml:space="preserve">`server/cyber-response-engine.ts`, `server/feeds-cyber.ts` — cyber task vocabulary</w:t>
      </w:r>
    </w:p>
    <w:p>
      <w:pPr>
        <w:pStyle w:val="ListParagraph"/>
        <w:numPr>
          <w:ilvl w:val="0"/>
          <w:numId w:val="1"/>
        </w:numPr>
      </w:pPr>
      <w:r>
        <w:t xml:space="preserve">`server/decision-rag.ts` — corpus-grounded rationale on decision surfaces</w:t>
      </w:r>
    </w:p>
    <w:p>
      <w:pPr>
        <w:pStyle w:val="ListParagraph"/>
        <w:numPr>
          <w:ilvl w:val="0"/>
          <w:numId w:val="1"/>
        </w:numPr>
      </w:pPr>
      <w:r>
        <w:t xml:space="preserve">DDIL: `server/ddil-store-forward.ts`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7. Honest gaps (Phase I scope)</w:t>
      </w:r>
    </w:p>
    <w:p>
      <w:r>
        <w:t xml:space="preserve"/>
      </w:r>
    </w:p>
    <w:p>
      <w:pPr>
        <w:pStyle w:val="ListParagraph"/>
        <w:numPr>
          <w:ilvl w:val="0"/>
          <w:numId w:val="1"/>
        </w:numPr>
      </w:pPr>
      <w:r>
        <w:t xml:space="preserve">No live SCADA tap in Phase I — notional utility topology only.</w:t>
      </w:r>
    </w:p>
    <w:p>
      <w:pPr>
        <w:pStyle w:val="ListParagraph"/>
        <w:numPr>
          <w:ilvl w:val="0"/>
          <w:numId w:val="1"/>
        </w:numPr>
      </w:pPr>
      <w:r>
        <w:t xml:space="preserve">CMMC Level 2 (self) — in-progress posture; not claimed certified.</w:t>
      </w:r>
    </w:p>
    <w:p>
      <w:pPr>
        <w:pStyle w:val="ListParagraph"/>
        <w:numPr>
          <w:ilvl w:val="0"/>
          <w:numId w:val="1"/>
        </w:numPr>
      </w:pPr>
      <w:r>
        <w:t xml:space="preserve">MITRE ATT&amp;CK for ICS full mapping — Phase I deliverable atop intel RAG corpus.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8. Company qualifications</w:t>
      </w:r>
    </w:p>
    <w:p>
      <w:r>
        <w:t xml:space="preserve"/>
      </w:r>
    </w:p>
    <w:p>
      <w:r>
        <w:t xml:space="preserve">ISS LLC is a small business, SDVOSB-pending, with a live TRL 6–7 platform. PI Dr. Terry Flood is a retired 131A Chief Targeting officer — deliberate multi-domain planning under imperfect information is core professional experience, directly transferable to OT defense planning.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r>
        <w:t xml:space="preserve">Respectfully,</w:t>
      </w:r>
    </w:p>
    <w:p>
      <w:r>
        <w:t xml:space="preserve"/>
      </w:r>
    </w:p>
    <w:p>
      <w:r>
        <w:t xml:space="preserve">Dr. Terry Flood, DHA, MS, MBA, CWO 131A Retired</w:t>
      </w:r>
    </w:p>
    <w:p>
      <w:r>
        <w:t xml:space="preserve">Founder &amp; Sole POC — Integrated Services and Solutions LLC (ISS)</w:t>
      </w:r>
    </w:p>
    <w:p>
      <w:r>
        <w:t xml:space="preserve">SDVOSB-pending | CAGE 9VKK3 | UEI C7YDV3P8EHL7 | EIN 41-4996540</w:t>
      </w:r>
    </w:p>
    <w:p>
      <w:r>
        <w:t xml:space="preserve">17912 Stefano Dr, Pflugerville, TX 78660</w:t>
      </w:r>
    </w:p>
    <w:p>
      <w:r>
        <w:t xml:space="preserve">mr.terryflood@gmail.com | 254-319-8460</w:t>
      </w:r>
    </w:p>
    <w:p>
      <w:r>
        <w:t xml:space="preserve">Live platform: https://secureassure.app</w:t>
      </w:r>
    </w:p>
    <w:p>
      <w:r>
        <w:t xml:space="preserve"/>
      </w:r>
    </w:p>
    <w:p>
      <w:r>
        <w:rPr>
          <w:i/>
          <w:iCs/>
        </w:rPr>
        <w:t xml:space="preserve">Generated from capability truth 2026-06-19 — regenerate via `npm run proposals:r2-docx`.</w:t>
      </w:r>
    </w:p>
    <w:p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DLA26BZ02-NV007 STRIKE OT Phase I</dc:title>
  <dc:creator>ATLAS Studio</dc:creator>
  <cp:lastModifiedBy>Un-named</cp:lastModifiedBy>
  <cp:revision>1</cp:revision>
  <dcterms:created xsi:type="dcterms:W3CDTF">2026-06-19T10:44:13.132Z</dcterms:created>
  <dcterms:modified xsi:type="dcterms:W3CDTF">2026-06-19T10:44:13.133Z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