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SBIR Phase I Proposal — DLA26BZ02-NV006</w:t>
      </w:r>
    </w:p>
    <w:p>
      <w:pPr>
        <w:pStyle w:val="Heading2"/>
      </w:pPr>
      <w:r>
        <w:t xml:space="preserve">AI-Assisted RMF Pre-Adjudication for Research, Development, and Rapid Prototyping Environments</w:t>
      </w:r>
    </w:p>
    <w:p>
      <w:r>
        <w:t xml:space="preserve"/>
      </w:r>
    </w:p>
    <w:p>
      <w:r>
        <w:rPr>
          <w:b/>
          <w:bCs/>
        </w:rPr>
        <w:t xml:space="preserve">Offeror:</w:t>
      </w:r>
      <w:r>
        <w:t xml:space="preserve"> Integrated Services and Solutions LLC (ISS) · CAGE 9VKK3 · UEI C7YDV3P8EHL7 · EIN 41-4996540</w:t>
      </w:r>
    </w:p>
    <w:p>
      <w:r>
        <w:rPr>
          <w:b/>
          <w:bCs/>
        </w:rPr>
        <w:t xml:space="preserve">PI:</w:t>
      </w:r>
      <w:r>
        <w:t xml:space="preserve"> Dr. Terry Flood, DHA, MS, MBA, CWO 131A Retired</w:t>
      </w:r>
    </w:p>
    <w:p>
      <w:r>
        <w:rPr>
          <w:b/>
          <w:bCs/>
        </w:rPr>
        <w:t xml:space="preserve">Close:</w:t>
      </w:r>
      <w:r>
        <w:t xml:space="preserve"> 2026-06-24 noon ET · </w:t>
      </w:r>
      <w:r>
        <w:rPr>
          <w:b/>
          <w:bCs/>
        </w:rPr>
        <w:t xml:space="preserve">Phase I:</w:t>
      </w:r>
      <w:r>
        <w:t xml:space="preserve"> ≤12 months, ≤$100K</w:t>
      </w:r>
    </w:p>
    <w:p>
      <w:r>
        <w:rPr>
          <w:b/>
          <w:bCs/>
        </w:rPr>
        <w:t xml:space="preserve">Capability truth source:</w:t>
      </w:r>
      <w:r>
        <w:t xml:space="preserve"> </w:t>
      </w:r>
      <w:r>
        <w:rPr>
          <w:rFonts w:ascii="Courier New" w:cs="Courier New" w:eastAsia="Courier New" w:hAnsi="Courier New"/>
        </w:rPr>
        <w:t xml:space="preserve">docs/canonical/11_r2_capability_truth.md</w:t>
      </w:r>
      <w:r>
        <w:t xml:space="preserve"> · </w:t>
      </w:r>
      <w:r>
        <w:rPr>
          <w:b/>
          <w:bCs/>
        </w:rPr>
        <w:t xml:space="preserve">Prove:</w:t>
      </w:r>
      <w:r>
        <w:t xml:space="preserve"> </w:t>
      </w:r>
      <w:r>
        <w:rPr>
          <w:rFonts w:ascii="Courier New" w:cs="Courier New" w:eastAsia="Courier New" w:hAnsi="Courier New"/>
        </w:rPr>
        <w:t xml:space="preserve">GET /api/prove/pursuit-r2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1. Problem and superior approach (Criterion 1)</w:t>
      </w:r>
    </w:p>
    <w:p>
      <w:r>
        <w:t xml:space="preserve"/>
      </w:r>
    </w:p>
    <w:p>
      <w:r>
        <w:rPr>
          <w:b/>
          <w:bCs/>
        </w:rPr>
        <w:t xml:space="preserve">Incumbent method:</w:t>
      </w:r>
      <w:r>
        <w:t xml:space="preserve"> R&amp;D teams submit SSPs and control narratives with gaps, contradictions, and missing POA&amp;M dates — assessors spend cycles on rework before substantive review.</w:t>
      </w:r>
    </w:p>
    <w:p>
      <w:r>
        <w:t xml:space="preserve"/>
      </w:r>
    </w:p>
    <w:p>
      <w:r>
        <w:rPr>
          <w:b/>
          <w:bCs/>
        </w:rPr>
        <w:t xml:space="preserve">ISS approach (demonstrated today):</w:t>
      </w:r>
      <w:r>
        <w:t xml:space="preserve"> Artifact-centric gap analysis with confidence-scored findings, </w:t>
      </w:r>
      <w:r>
        <w:rPr>
          <w:b/>
          <w:bCs/>
        </w:rPr>
        <w:t xml:space="preserve">source-span traceability</w:t>
      </w:r>
      <w:r>
        <w:t xml:space="preserve">, and </w:t>
      </w:r>
      <w:r>
        <w:rPr>
          <w:b/>
          <w:bCs/>
        </w:rPr>
        <w:t xml:space="preserve">mandatory human attestation</w:t>
      </w:r>
      <w:r>
        <w:t xml:space="preserve"> before findings enter the adjudication record. </w:t>
      </w:r>
      <w:r>
        <w:rPr>
          <w:b/>
          <w:bCs/>
        </w:rPr>
        <w:t xml:space="preserve">No automated ATO.</w:t>
      </w:r>
    </w:p>
    <w:p>
      <w:r>
        <w:t xml:space="preserve"/>
      </w:r>
    </w:p>
    <w:p>
      <w:r>
        <w:t xml:space="preserve">| Capability | </w:t>
      </w:r>
      <w:r>
        <w:rPr>
          <w:b/>
          <w:bCs/>
        </w:rPr>
        <w:t xml:space="preserve">Demonstrated today (live API)</w:t>
      </w:r>
      <w:r>
        <w:t xml:space="preserve"> | Phase I hardening |</w:t>
      </w:r>
    </w:p>
    <w:p>
      <w:r>
        <w:t xml:space="preserve">|------------|-----------------------------------|-------------------|</w:t>
      </w:r>
    </w:p>
    <w:p>
      <w:r>
        <w:t xml:space="preserve">| Artifact gap analysis | </w:t>
      </w:r>
      <w:r>
        <w:rPr>
          <w:rFonts w:ascii="Courier New" w:cs="Courier New" w:eastAsia="Courier New" w:hAnsi="Courier New"/>
        </w:rPr>
        <w:t xml:space="preserve">POST /api/rmf-preadjudication/analyze</w:t>
      </w:r>
      <w:r>
        <w:t xml:space="preserve"> | Full NIST 800-53 family rules + LLM assist |</w:t>
      </w:r>
    </w:p>
    <w:p>
      <w:r>
        <w:t xml:space="preserve">| Findings trace to source span | </w:t>
      </w:r>
      <w:r>
        <w:rPr>
          <w:rFonts w:ascii="Courier New" w:cs="Courier New" w:eastAsia="Courier New" w:hAnsi="Courier New"/>
        </w:rPr>
        <w:t xml:space="preserve">findings[].sourceSpan</w:t>
      </w:r>
      <w:r>
        <w:t xml:space="preserve"> | Offset-level citation in PDF upload |</w:t>
      </w:r>
    </w:p>
    <w:p>
      <w:r>
        <w:t xml:space="preserve">| Human attestation required | </w:t>
      </w:r>
      <w:r>
        <w:rPr>
          <w:rFonts w:ascii="Courier New" w:cs="Courier New" w:eastAsia="Courier New" w:hAnsi="Courier New"/>
        </w:rPr>
        <w:t xml:space="preserve">POST /api/rmf-preadjudication/attest</w:t>
      </w:r>
      <w:r>
        <w:t xml:space="preserve"> | Role-based assessor workflow |</w:t>
      </w:r>
    </w:p>
    <w:p>
      <w:r>
        <w:t xml:space="preserve">| No auto-ATO | </w:t>
      </w:r>
      <w:r>
        <w:rPr>
          <w:rFonts w:ascii="Courier New" w:cs="Courier New" w:eastAsia="Courier New" w:hAnsi="Courier New"/>
        </w:rPr>
        <w:t xml:space="preserve">autoAto: false</w:t>
      </w:r>
      <w:r>
        <w:t xml:space="preserve"> on status | Unchanged — explicit non-goal |</w:t>
      </w:r>
    </w:p>
    <w:p>
      <w:r>
        <w:t xml:space="preserve"/>
      </w:r>
    </w:p>
    <w:p>
      <w:r>
        <w:rPr>
          <w:b/>
          <w:bCs/>
        </w:rPr>
        <w:t xml:space="preserve">Sample artifact:</w:t>
      </w:r>
      <w:r>
        <w:t xml:space="preserve"> </w:t>
      </w:r>
      <w:r>
        <w:rPr>
          <w:rFonts w:ascii="Courier New" w:cs="Courier New" w:eastAsia="Courier New" w:hAnsi="Courier New"/>
        </w:rPr>
        <w:t xml:space="preserve">server/fixtures/rmf-sample-ssp-excerpt.md</w:t>
      </w:r>
      <w:r>
        <w:t xml:space="preserve"> · </w:t>
      </w:r>
      <w:r>
        <w:rPr>
          <w:b/>
          <w:bCs/>
        </w:rPr>
        <w:t xml:space="preserve">Module:</w:t>
      </w:r>
      <w:r>
        <w:t xml:space="preserve"> </w:t>
      </w:r>
      <w:r>
        <w:rPr>
          <w:rFonts w:ascii="Courier New" w:cs="Courier New" w:eastAsia="Courier New" w:hAnsi="Courier New"/>
        </w:rPr>
        <w:t xml:space="preserve">server/pursuit-r2-capabilities.ts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2. Unnamed risk and retirement (Criterion 2)</w:t>
      </w:r>
    </w:p>
    <w:p>
      <w:r>
        <w:t xml:space="preserve"/>
      </w:r>
    </w:p>
    <w:p>
      <w:r>
        <w:rPr>
          <w:b/>
          <w:bCs/>
        </w:rPr>
        <w:t xml:space="preserve">Risk:</w:t>
      </w:r>
      <w:r>
        <w:t xml:space="preserve"> AI document tools that hallucinate control mappings create false confidence — assessors must re-validate every machine finding, negating time savings.</w:t>
      </w:r>
    </w:p>
    <w:p>
      <w:r>
        <w:t xml:space="preserve"/>
      </w:r>
    </w:p>
    <w:p>
      <w:r>
        <w:rPr>
          <w:b/>
          <w:bCs/>
        </w:rPr>
        <w:t xml:space="preserve">Retirement:</w:t>
      </w:r>
      <w:r>
        <w:t xml:space="preserve"> ISS grounded-agent discipline (GREEN/AMBER/RED tags, </w:t>
      </w:r>
      <w:r>
        <w:rPr>
          <w:rFonts w:ascii="Courier New" w:cs="Courier New" w:eastAsia="Courier New" w:hAnsi="Courier New"/>
        </w:rPr>
        <w:t xml:space="preserve">server/sbir-proposal-engine.ts</w:t>
      </w:r>
      <w:r>
        <w:t xml:space="preserve">, </w:t>
      </w:r>
      <w:r>
        <w:rPr>
          <w:rFonts w:ascii="Courier New" w:cs="Courier New" w:eastAsia="Courier New" w:hAnsi="Courier New"/>
        </w:rPr>
        <w:t xml:space="preserve">server/ai-audit-engine.ts</w:t>
      </w:r>
      <w:r>
        <w:t xml:space="preserve">) applied to RMF artifacts: findings without </w:t>
      </w:r>
      <w:r>
        <w:rPr>
          <w:rFonts w:ascii="Courier New" w:cs="Courier New" w:eastAsia="Courier New" w:hAnsi="Courier New"/>
        </w:rPr>
        <w:t xml:space="preserve">sourceSpan</w:t>
      </w:r>
      <w:r>
        <w:t xml:space="preserve"> do not export; attestation is explicit approve/reject per finding ID.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3. Proposed acceptance metric (Criterion 3)</w:t>
      </w:r>
    </w:p>
    <w:p>
      <w:r>
        <w:t xml:space="preserve"/>
      </w:r>
    </w:p>
    <w:p>
      <w:r>
        <w:rPr>
          <w:b/>
          <w:bCs/>
        </w:rPr>
        <w:t xml:space="preserve">Metric:</w:t>
      </w:r>
      <w:r>
        <w:t xml:space="preserve"> On a provided SSP excerpt, system returns </w:t>
      </w:r>
      <w:r>
        <w:rPr>
          <w:b/>
          <w:bCs/>
        </w:rPr>
        <w:t xml:space="preserve">≥1 HIGH or CRITICAL finding</w:t>
      </w:r>
      <w:r>
        <w:t xml:space="preserve"> with </w:t>
      </w:r>
      <w:r>
        <w:rPr>
          <w:rFonts w:ascii="Courier New" w:cs="Courier New" w:eastAsia="Courier New" w:hAnsi="Courier New"/>
        </w:rPr>
        <w:t xml:space="preserve">confidence ≥ 0.85</w:t>
      </w:r>
      <w:r>
        <w:t xml:space="preserve">, each with non-empty </w:t>
      </w:r>
      <w:r>
        <w:rPr>
          <w:rFonts w:ascii="Courier New" w:cs="Courier New" w:eastAsia="Courier New" w:hAnsi="Courier New"/>
        </w:rPr>
        <w:t xml:space="preserve">sourceSpan</w:t>
      </w:r>
      <w:r>
        <w:t xml:space="preserve">, and findings remain </w:t>
      </w:r>
      <w:r>
        <w:rPr>
          <w:rFonts w:ascii="Courier New" w:cs="Courier New" w:eastAsia="Courier New" w:hAnsi="Courier New"/>
        </w:rPr>
        <w:t xml:space="preserve">PENDING</w:t>
      </w:r>
      <w:r>
        <w:t xml:space="preserve"> until </w:t>
      </w:r>
      <w:r>
        <w:rPr>
          <w:rFonts w:ascii="Courier New" w:cs="Courier New" w:eastAsia="Courier New" w:hAnsi="Courier New"/>
        </w:rPr>
        <w:t xml:space="preserve">POST /api/rmf-preadjudication/attest</w:t>
      </w:r>
      <w:r>
        <w:t xml:space="preserve"> — </w:t>
      </w:r>
      <w:r>
        <w:rPr>
          <w:b/>
          <w:bCs/>
        </w:rPr>
        <w:t xml:space="preserve">zero findings promoted without human attestation</w:t>
      </w:r>
      <w:r>
        <w:t xml:space="preserve">.</w:t>
      </w:r>
    </w:p>
    <w:p>
      <w:r>
        <w:t xml:space="preserve"/>
      </w:r>
    </w:p>
    <w:p>
      <w:r>
        <w:rPr>
          <w:b/>
          <w:bCs/>
        </w:rPr>
        <w:t xml:space="preserve">Proof endpoint:</w:t>
      </w:r>
      <w:r>
        <w:t xml:space="preserve"> </w:t>
      </w:r>
      <w:r>
        <w:rPr>
          <w:rFonts w:ascii="Courier New" w:cs="Courier New" w:eastAsia="Courier New" w:hAnsi="Courier New"/>
        </w:rPr>
        <w:t xml:space="preserve">GET /api/prove/pursuit-r2</w:t>
      </w:r>
      <w:r>
        <w:t xml:space="preserve"> (rmf-analyze + rmf-attest steps must pass).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4. Technical approach — Phase I</w:t>
      </w:r>
    </w:p>
    <w:p>
      <w:r>
        <w:t xml:space="preserve"/>
      </w:r>
    </w:p>
    <w:p>
      <w:r>
        <w:t xml:space="preserve">Phase I hardens the </w:t>
      </w:r>
      <w:r>
        <w:rPr>
          <w:b/>
          <w:bCs/>
        </w:rPr>
        <w:t xml:space="preserve">live RMF pre-adjudication lane</w:t>
      </w:r>
      <w:r>
        <w:t xml:space="preserve"> in a government-approved R&amp;D sandbox (no ATO required for Phase I per topic).</w:t>
      </w:r>
    </w:p>
    <w:p>
      <w:r>
        <w:t xml:space="preserve"/>
      </w:r>
    </w:p>
    <w:p>
      <w:r>
        <w:t xml:space="preserve">1. </w:t>
      </w:r>
      <w:r>
        <w:rPr>
          <w:b/>
          <w:bCs/>
        </w:rPr>
        <w:t xml:space="preserve">Ingestion (Month 1–2):</w:t>
      </w:r>
      <w:r>
        <w:t xml:space="preserve"> Expand artifact types (SSP, POA&amp;M, control implementation statements) into intel RAG corpus with document-bound chunking.</w:t>
      </w:r>
    </w:p>
    <w:p>
      <w:r>
        <w:t xml:space="preserve">2. </w:t>
      </w:r>
      <w:r>
        <w:rPr>
          <w:b/>
          <w:bCs/>
        </w:rPr>
        <w:t xml:space="preserve">Rule + RAG analysis (Month 3–5):</w:t>
      </w:r>
      <w:r>
        <w:t xml:space="preserve"> Extend rule engine beyond sample excerpt; add NIST 800-53 family coverage for R&amp;D environments.</w:t>
      </w:r>
    </w:p>
    <w:p>
      <w:r>
        <w:t xml:space="preserve">3. </w:t>
      </w:r>
      <w:r>
        <w:rPr>
          <w:b/>
          <w:bCs/>
        </w:rPr>
        <w:t xml:space="preserve">Attestation UX (Month 6–8):</w:t>
      </w:r>
      <w:r>
        <w:t xml:space="preserve"> Role-based reviewer workflow atop evaluator approval patterns; export assessor-ready deficiency report.</w:t>
      </w:r>
    </w:p>
    <w:p>
      <w:r>
        <w:t xml:space="preserve">4. </w:t>
      </w:r>
      <w:r>
        <w:rPr>
          <w:b/>
          <w:bCs/>
        </w:rPr>
        <w:t xml:space="preserve">Demonstration (Month 9–12):</w:t>
      </w:r>
      <w:r>
        <w:t xml:space="preserve"> Witnessed run on historical/synthetic corpus; methods/limitations doc; Phase II DLA enterprise rollout plan.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5. Innovation</w:t>
      </w:r>
    </w:p>
    <w:p>
      <w:r>
        <w:t xml:space="preserve"/>
      </w:r>
    </w:p>
    <w:p>
      <w:r>
        <w:t xml:space="preserve">Generic LLM summarizers invent citations — unacceptable in RMF. ISS differentiator: </w:t>
      </w:r>
      <w:r>
        <w:rPr>
          <w:b/>
          <w:bCs/>
        </w:rPr>
        <w:t xml:space="preserve">refusal to collapse uncertainty</w:t>
      </w:r>
      <w:r>
        <w:t xml:space="preserve"> — same governance muscle as COP COA recommendations, applied to governance artifacts.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6. Related live modules</w:t>
      </w:r>
    </w:p>
    <w:p>
      <w:r>
        <w:t xml:space="preserve"/>
      </w:r>
    </w:p>
    <w:p>
      <w:pPr>
        <w:pStyle w:val="ListParagraph"/>
        <w:numPr>
          <w:ilvl w:val="0"/>
          <w:numId w:val="1"/>
        </w:numPr>
      </w:pPr>
      <w:r>
        <w:t xml:space="preserve">`server/intel-rag.ts`, `server/decision-rag.ts` — corpus retrieval</w:t>
      </w:r>
    </w:p>
    <w:p>
      <w:pPr>
        <w:pStyle w:val="ListParagraph"/>
        <w:numPr>
          <w:ilvl w:val="0"/>
          <w:numId w:val="1"/>
        </w:numPr>
      </w:pPr>
      <w:r>
        <w:t xml:space="preserve">`server/ai-audit-engine.ts` — hash-chained provenance</w:t>
      </w:r>
    </w:p>
    <w:p>
      <w:pPr>
        <w:pStyle w:val="ListParagraph"/>
        <w:numPr>
          <w:ilvl w:val="0"/>
          <w:numId w:val="1"/>
        </w:numPr>
      </w:pPr>
      <w:r>
        <w:t xml:space="preserve">`server/evaluator-pack-routes.ts` — human attestation patterns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7. Honest gaps</w:t>
      </w:r>
    </w:p>
    <w:p>
      <w:r>
        <w:t xml:space="preserve"/>
      </w:r>
    </w:p>
    <w:p>
      <w:pPr>
        <w:pStyle w:val="ListParagraph"/>
        <w:numPr>
          <w:ilvl w:val="0"/>
          <w:numId w:val="1"/>
        </w:numPr>
      </w:pPr>
      <w:r>
        <w:t xml:space="preserve">Phase I uses synthetic/historical artifacts unless DLA provides sandbox corpus.</w:t>
      </w:r>
    </w:p>
    <w:p>
      <w:pPr>
        <w:pStyle w:val="ListParagraph"/>
        <w:numPr>
          <w:ilvl w:val="0"/>
          <w:numId w:val="1"/>
        </w:numPr>
      </w:pPr>
      <w:r>
        <w:t xml:space="preserve">CMMC Level 2 (self) — cost narrative aligns with in-progress posture only.</w:t>
      </w:r>
    </w:p>
    <w:p>
      <w:pPr>
        <w:pStyle w:val="ListParagraph"/>
        <w:numPr>
          <w:ilvl w:val="0"/>
          <w:numId w:val="1"/>
        </w:numPr>
      </w:pPr>
      <w:r>
        <w:t xml:space="preserve">**Do not conflate with NV005** — NV006 is governance artifact quality, not agentic cyber offense.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pPr>
        <w:pStyle w:val="Heading2"/>
      </w:pPr>
      <w:r>
        <w:t xml:space="preserve">8. Company qualifications</w:t>
      </w:r>
    </w:p>
    <w:p>
      <w:r>
        <w:t xml:space="preserve"/>
      </w:r>
    </w:p>
    <w:p>
      <w:r>
        <w:t xml:space="preserve">ISS ships grounded AI with audit on a live platform (https://secureassure.app). PI brings targeting discipline — trace every recommendation to evidence or mark it for human verification.</w:t>
      </w:r>
    </w:p>
    <w:p>
      <w:r>
        <w:t xml:space="preserve"/>
      </w:r>
    </w:p>
    <w:p>
      <w:r>
        <w:t xml:space="preserve">---</w:t>
      </w:r>
    </w:p>
    <w:p>
      <w:r>
        <w:t xml:space="preserve"/>
      </w:r>
    </w:p>
    <w:p>
      <w:r>
        <w:t xml:space="preserve">Respectfully,</w:t>
      </w:r>
    </w:p>
    <w:p>
      <w:r>
        <w:t xml:space="preserve"/>
      </w:r>
    </w:p>
    <w:p>
      <w:r>
        <w:t xml:space="preserve">Dr. Terry Flood, DHA, MS, MBA, CWO 131A Retired</w:t>
      </w:r>
    </w:p>
    <w:p>
      <w:r>
        <w:t xml:space="preserve">Founder &amp; Sole POC — Integrated Services and Solutions LLC (ISS)</w:t>
      </w:r>
    </w:p>
    <w:p>
      <w:r>
        <w:t xml:space="preserve">SDVOSB-pending | CAGE 9VKK3 | UEI C7YDV3P8EHL7 | EIN 41-4996540</w:t>
      </w:r>
    </w:p>
    <w:p>
      <w:r>
        <w:t xml:space="preserve">17912 Stefano Dr, Pflugerville, TX 78660</w:t>
      </w:r>
    </w:p>
    <w:p>
      <w:r>
        <w:t xml:space="preserve">mr.terryflood@gmail.com | 254-319-8460</w:t>
      </w:r>
    </w:p>
    <w:p>
      <w:r>
        <w:t xml:space="preserve">Live platform: https://secureassure.app</w:t>
      </w:r>
    </w:p>
    <w:p>
      <w:r>
        <w:t xml:space="preserve"/>
      </w:r>
    </w:p>
    <w:p>
      <w:r>
        <w:rPr>
          <w:i/>
          <w:iCs/>
        </w:rPr>
        <w:t xml:space="preserve">Generated from capability truth 2026-06-19 — regenerate via `npm run proposals:r2-docx`.</w:t>
      </w:r>
    </w:p>
    <w:p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DLA26BZ02-NV006 RMF Pre-Adjudication Phase I</dc:title>
  <dc:creator>ATLAS Studio</dc:creator>
  <cp:lastModifiedBy>Un-named</cp:lastModifiedBy>
  <cp:revision>1</cp:revision>
  <dcterms:created xsi:type="dcterms:W3CDTF">2026-06-19T10:44:13.170Z</dcterms:created>
  <dcterms:modified xsi:type="dcterms:W3CDTF">2026-06-19T10:44:13.170Z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